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31" w:rsidRPr="000761DA" w:rsidRDefault="00500E4F" w:rsidP="00500E4F">
      <w:pPr>
        <w:jc w:val="center"/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264" behindDoc="1" locked="0" layoutInCell="1" allowOverlap="1" wp14:anchorId="793FF2AA" wp14:editId="254D6C94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56007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527" y="21282"/>
                <wp:lineTo x="2152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7" t="50000" r="34375" b="37411"/>
                    <a:stretch/>
                  </pic:blipFill>
                  <pic:spPr bwMode="auto">
                    <a:xfrm>
                      <a:off x="0" y="0"/>
                      <a:ext cx="560070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531" w:rsidRPr="000761DA">
        <w:rPr>
          <w:b/>
          <w:bCs/>
          <w:lang w:val="fr-CA"/>
        </w:rPr>
        <w:t>Précautions à prendre suite à votre/vos extraction(s) dentaire(s)</w:t>
      </w:r>
    </w:p>
    <w:p w:rsidR="00662531" w:rsidRDefault="00662531" w:rsidP="00662531">
      <w:pPr>
        <w:pStyle w:val="Standard"/>
        <w:jc w:val="center"/>
        <w:rPr>
          <w:b/>
          <w:bCs/>
        </w:rPr>
      </w:pPr>
    </w:p>
    <w:p w:rsidR="00662531" w:rsidRDefault="00662531" w:rsidP="00662531">
      <w:pPr>
        <w:pStyle w:val="Standard"/>
        <w:jc w:val="both"/>
      </w:pPr>
      <w:r>
        <w:t>Il est important de bien suivre ces indications pour éviter le plus possible que la guérison soit retardée et que la douleur s'installe de façon significative.</w:t>
      </w:r>
    </w:p>
    <w:p w:rsidR="00662531" w:rsidRDefault="00662531" w:rsidP="00662531">
      <w:pPr>
        <w:pStyle w:val="Standard"/>
        <w:jc w:val="both"/>
      </w:pPr>
    </w:p>
    <w:p w:rsidR="00662531" w:rsidRDefault="00662531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Prescription:</w:t>
      </w:r>
    </w:p>
    <w:p w:rsidR="00662531" w:rsidRDefault="00662531" w:rsidP="00662531">
      <w:pPr>
        <w:pStyle w:val="Standard"/>
        <w:jc w:val="both"/>
      </w:pPr>
      <w:r>
        <w:t xml:space="preserve">Prendre vos médicaments tels que prescrits. Si vous devez arrêter vos médicaments à cause d'effets secondaires trop importants veuillez nous aviser au (450) </w:t>
      </w:r>
      <w:r w:rsidR="008B2420">
        <w:t>741-6868.</w:t>
      </w:r>
    </w:p>
    <w:p w:rsidR="000761DA" w:rsidRDefault="000761DA" w:rsidP="00662531">
      <w:pPr>
        <w:pStyle w:val="Standard"/>
        <w:jc w:val="both"/>
      </w:pPr>
    </w:p>
    <w:p w:rsidR="00662531" w:rsidRDefault="00662531" w:rsidP="00662531">
      <w:pPr>
        <w:pStyle w:val="Standard"/>
        <w:jc w:val="both"/>
      </w:pPr>
      <w:r>
        <w:t xml:space="preserve">Voici les règles à suivre pour vos </w:t>
      </w:r>
      <w:proofErr w:type="gramStart"/>
      <w:r>
        <w:t>médicaments</w:t>
      </w:r>
      <w:r w:rsidR="000761DA">
        <w:t>:</w:t>
      </w:r>
      <w:proofErr w:type="gramEnd"/>
    </w:p>
    <w:p w:rsidR="00662531" w:rsidRDefault="00D55EE2" w:rsidP="006E6BA6">
      <w:pPr>
        <w:pStyle w:val="Standard"/>
        <w:jc w:val="both"/>
      </w:pPr>
      <w:bookmarkStart w:id="0" w:name="_GoBack"/>
      <w:bookmarkEnd w:id="0"/>
      <w:r>
        <w:t>Il est suggéré de prendre</w:t>
      </w:r>
      <w:r w:rsidR="00662531">
        <w:rPr>
          <w:b/>
          <w:bCs/>
        </w:rPr>
        <w:t xml:space="preserve"> </w:t>
      </w:r>
      <w:r w:rsidR="006E6BA6">
        <w:t>(</w:t>
      </w:r>
      <w:r w:rsidR="006E6BA6">
        <w:rPr>
          <w:b/>
        </w:rPr>
        <w:t>À moins de</w:t>
      </w:r>
      <w:r w:rsidR="006E6BA6" w:rsidRPr="000761DA">
        <w:rPr>
          <w:b/>
        </w:rPr>
        <w:t xml:space="preserve"> contre</w:t>
      </w:r>
      <w:r w:rsidR="006E6BA6">
        <w:rPr>
          <w:b/>
        </w:rPr>
        <w:t>-</w:t>
      </w:r>
      <w:r w:rsidR="006E6BA6" w:rsidRPr="000761DA">
        <w:rPr>
          <w:b/>
        </w:rPr>
        <w:t>indications</w:t>
      </w:r>
      <w:r w:rsidR="006E6BA6">
        <w:t>) </w:t>
      </w:r>
      <w:r w:rsidR="00662531">
        <w:t xml:space="preserve">pour les deux prochaines </w:t>
      </w:r>
      <w:proofErr w:type="gramStart"/>
      <w:r w:rsidR="00662531">
        <w:t>journées:</w:t>
      </w:r>
      <w:proofErr w:type="gramEnd"/>
    </w:p>
    <w:p w:rsidR="00662531" w:rsidRDefault="00662531" w:rsidP="00662531">
      <w:pPr>
        <w:pStyle w:val="Standard"/>
        <w:jc w:val="both"/>
      </w:pPr>
    </w:p>
    <w:p w:rsidR="00662531" w:rsidRDefault="00BB7898" w:rsidP="00662531">
      <w:pPr>
        <w:pStyle w:val="Standard"/>
        <w:numPr>
          <w:ilvl w:val="0"/>
          <w:numId w:val="1"/>
        </w:numPr>
        <w:jc w:val="both"/>
      </w:pPr>
      <w:proofErr w:type="spellStart"/>
      <w:r>
        <w:t>M</w:t>
      </w:r>
      <w:r w:rsidR="00662531">
        <w:t>otrin</w:t>
      </w:r>
      <w:proofErr w:type="spellEnd"/>
      <w:r w:rsidR="00662531">
        <w:t xml:space="preserve"> (ibuprofène) 600mg 1 comprimé tous les 4 ou 6 heures</w:t>
      </w:r>
    </w:p>
    <w:p w:rsidR="00662531" w:rsidRDefault="00D55EE2" w:rsidP="00662531">
      <w:pPr>
        <w:pStyle w:val="Standard"/>
        <w:jc w:val="both"/>
      </w:pPr>
      <w:proofErr w:type="gramStart"/>
      <w:r>
        <w:t>Ou</w:t>
      </w:r>
      <w:proofErr w:type="gramEnd"/>
    </w:p>
    <w:p w:rsidR="00662531" w:rsidRDefault="00BB7898" w:rsidP="00662531">
      <w:pPr>
        <w:pStyle w:val="Standard"/>
        <w:numPr>
          <w:ilvl w:val="0"/>
          <w:numId w:val="1"/>
        </w:numPr>
        <w:jc w:val="both"/>
      </w:pPr>
      <w:proofErr w:type="spellStart"/>
      <w:r>
        <w:t>T</w:t>
      </w:r>
      <w:r w:rsidR="00662531">
        <w:t>yl</w:t>
      </w:r>
      <w:r w:rsidR="006E6BA6">
        <w:t>enol</w:t>
      </w:r>
      <w:proofErr w:type="spellEnd"/>
      <w:r w:rsidR="006E6BA6">
        <w:t xml:space="preserve"> (acétaminophène) 500mg</w:t>
      </w:r>
      <w:r w:rsidR="00D55EE2">
        <w:t xml:space="preserve"> 2 </w:t>
      </w:r>
      <w:r w:rsidR="00662531">
        <w:t>comprimé</w:t>
      </w:r>
      <w:r w:rsidR="00D55EE2">
        <w:t>s</w:t>
      </w:r>
      <w:r w:rsidR="00662531">
        <w:t xml:space="preserve"> tous les 4 heures</w:t>
      </w:r>
    </w:p>
    <w:p w:rsidR="00662531" w:rsidRDefault="00662531" w:rsidP="00662531">
      <w:pPr>
        <w:pStyle w:val="Standard"/>
        <w:jc w:val="both"/>
      </w:pPr>
    </w:p>
    <w:p w:rsidR="00662531" w:rsidRDefault="00662531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Ne pas fumer</w:t>
      </w:r>
    </w:p>
    <w:p w:rsidR="00662531" w:rsidRDefault="00662531" w:rsidP="00662531">
      <w:pPr>
        <w:pStyle w:val="Standard"/>
        <w:jc w:val="both"/>
      </w:pPr>
      <w:r>
        <w:t xml:space="preserve">La fumée de cigarette affecte directement le trou que votre dent a laissé. La consommation de tabac suite </w:t>
      </w:r>
      <w:r w:rsidR="00BB7898">
        <w:t>à</w:t>
      </w:r>
      <w:r>
        <w:t xml:space="preserve"> l'extraction provoque inévitablement de la douleu</w:t>
      </w:r>
      <w:r w:rsidR="00BB7898">
        <w:t>r et possiblement une alvéolite.</w:t>
      </w:r>
    </w:p>
    <w:p w:rsidR="00662531" w:rsidRDefault="00662531" w:rsidP="00662531">
      <w:pPr>
        <w:pStyle w:val="Standard"/>
        <w:jc w:val="both"/>
      </w:pPr>
    </w:p>
    <w:p w:rsidR="00662531" w:rsidRDefault="00662531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Ne pas rincer</w:t>
      </w:r>
    </w:p>
    <w:p w:rsidR="00662531" w:rsidRDefault="00662531" w:rsidP="00662531">
      <w:pPr>
        <w:pStyle w:val="Standard"/>
        <w:jc w:val="both"/>
      </w:pPr>
      <w:r>
        <w:t xml:space="preserve">Il est important d'éviter de rincer la bouche pendant </w:t>
      </w:r>
      <w:r w:rsidR="00653C01">
        <w:t xml:space="preserve">au moins </w:t>
      </w:r>
      <w:r>
        <w:t xml:space="preserve">48hrs de façon à laisser un pansement naturel se former dans l'alvéole (trou) de </w:t>
      </w:r>
      <w:r w:rsidR="00653C01">
        <w:t xml:space="preserve">la dent extraite. Par la suite, </w:t>
      </w:r>
      <w:r w:rsidR="00D55EE2">
        <w:t xml:space="preserve">vous pouvez </w:t>
      </w:r>
      <w:r>
        <w:t xml:space="preserve">rincer doucement avec de l'eau tiède légèrement salée pour éviter </w:t>
      </w:r>
      <w:r w:rsidR="00C3537F">
        <w:t>l’infection</w:t>
      </w:r>
      <w:r w:rsidR="00653C01">
        <w:t xml:space="preserve"> sans cracher</w:t>
      </w:r>
      <w:r w:rsidR="00C3537F">
        <w:t>. (</w:t>
      </w:r>
      <w:r w:rsidR="00BB7898">
        <w:t xml:space="preserve">1/2 c. </w:t>
      </w:r>
      <w:r w:rsidR="00C06907">
        <w:t>à</w:t>
      </w:r>
      <w:r w:rsidR="00BB7898">
        <w:t xml:space="preserve"> thé de sel dans 8oz </w:t>
      </w:r>
      <w:r w:rsidR="00C06907">
        <w:t>d’eau.)</w:t>
      </w:r>
    </w:p>
    <w:p w:rsidR="00662531" w:rsidRDefault="00662531" w:rsidP="00662531">
      <w:pPr>
        <w:pStyle w:val="Standard"/>
        <w:jc w:val="both"/>
      </w:pPr>
    </w:p>
    <w:p w:rsidR="00662531" w:rsidRDefault="00BB7898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Saignement</w:t>
      </w:r>
    </w:p>
    <w:p w:rsidR="00662531" w:rsidRDefault="00662531" w:rsidP="00662531">
      <w:pPr>
        <w:pStyle w:val="Standard"/>
        <w:jc w:val="both"/>
      </w:pPr>
      <w:r>
        <w:t xml:space="preserve">Nous avons </w:t>
      </w:r>
      <w:r w:rsidR="00BB7898">
        <w:t>appliqué</w:t>
      </w:r>
      <w:r>
        <w:t xml:space="preserve"> un tampon de gaze suite à l'extraction. Il est important de mordre sur le coton environ un</w:t>
      </w:r>
      <w:r w:rsidR="00BB7898">
        <w:t>e</w:t>
      </w:r>
      <w:r>
        <w:t xml:space="preserve"> demi-heure. Faire une pression constante sur le coton</w:t>
      </w:r>
      <w:r w:rsidR="00BB7898">
        <w:t xml:space="preserve">, changer le coton </w:t>
      </w:r>
      <w:r w:rsidR="00C3537F">
        <w:t>à la demi-heure jusqu’à</w:t>
      </w:r>
      <w:r w:rsidR="00BB7898">
        <w:t xml:space="preserve"> ce que le saignement arrête</w:t>
      </w:r>
      <w:r>
        <w:t>. Ne pa</w:t>
      </w:r>
      <w:r w:rsidR="00BB7898">
        <w:t xml:space="preserve">s mâchonner comme sur une gomme pour ne pas déloger le caillot. </w:t>
      </w:r>
      <w:r w:rsidR="000761DA">
        <w:t>De plus, il est suggéré de dormir la tête surélevée afin d’éviter la pression à la tête.</w:t>
      </w:r>
    </w:p>
    <w:p w:rsidR="00662531" w:rsidRDefault="00662531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La brosse à dents</w:t>
      </w:r>
    </w:p>
    <w:p w:rsidR="00662531" w:rsidRDefault="00E6765A" w:rsidP="00662531">
      <w:pPr>
        <w:pStyle w:val="Standard"/>
        <w:jc w:val="both"/>
      </w:pPr>
      <w:r>
        <w:t>Vous pouvez vous brosser</w:t>
      </w:r>
      <w:r w:rsidR="00662531">
        <w:t xml:space="preserve"> les dents délicatemen</w:t>
      </w:r>
      <w:r w:rsidR="006E58F9">
        <w:t>t. Ne pas rincer vigoureusement et u</w:t>
      </w:r>
      <w:r w:rsidR="00662531">
        <w:t>tiliser moins de pâte dentifrice. Une bouche propre cicatrise mieux!</w:t>
      </w:r>
    </w:p>
    <w:p w:rsidR="00662531" w:rsidRDefault="00662531" w:rsidP="00662531">
      <w:pPr>
        <w:pStyle w:val="Standard"/>
        <w:jc w:val="both"/>
      </w:pPr>
    </w:p>
    <w:p w:rsidR="00662531" w:rsidRDefault="00662531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Exercices et repos</w:t>
      </w:r>
    </w:p>
    <w:p w:rsidR="00662531" w:rsidRDefault="00662531" w:rsidP="00662531">
      <w:pPr>
        <w:pStyle w:val="Standard"/>
        <w:jc w:val="both"/>
      </w:pPr>
      <w:r>
        <w:t>Il est important de ne pas faire d'exercice excessif suite à l'extraction</w:t>
      </w:r>
      <w:r w:rsidR="006E58F9">
        <w:t>,</w:t>
      </w:r>
      <w:r>
        <w:t xml:space="preserve"> car tout ce qui augmente le rythme cardiaque provoquera un saignement important. Reposez-vous! Prenez soin de vous!</w:t>
      </w:r>
    </w:p>
    <w:p w:rsidR="00662531" w:rsidRDefault="00662531" w:rsidP="00662531">
      <w:pPr>
        <w:pStyle w:val="Standard"/>
        <w:jc w:val="both"/>
      </w:pPr>
    </w:p>
    <w:p w:rsidR="00662531" w:rsidRDefault="00662531" w:rsidP="00662531">
      <w:pPr>
        <w:pStyle w:val="Standard"/>
        <w:jc w:val="both"/>
        <w:rPr>
          <w:b/>
          <w:bCs/>
        </w:rPr>
      </w:pPr>
      <w:r>
        <w:rPr>
          <w:b/>
          <w:bCs/>
        </w:rPr>
        <w:t>Enflure</w:t>
      </w:r>
    </w:p>
    <w:p w:rsidR="00662531" w:rsidRDefault="00662531" w:rsidP="00662531">
      <w:pPr>
        <w:pStyle w:val="Standard"/>
        <w:jc w:val="both"/>
      </w:pPr>
      <w:r>
        <w:t xml:space="preserve">Pour éviter que l'enflure s'installe de </w:t>
      </w:r>
      <w:r w:rsidR="00A23236">
        <w:t>façon exagérée</w:t>
      </w:r>
      <w:r>
        <w:t xml:space="preserve"> prenez vos médicaments tels que prescrits et appliquer </w:t>
      </w:r>
      <w:r w:rsidR="000761DA">
        <w:t>du froid</w:t>
      </w:r>
      <w:r>
        <w:t xml:space="preserve"> sur la région opéré 10 min à toutes les heures pour les douze premières heures.</w:t>
      </w:r>
    </w:p>
    <w:p w:rsidR="00A23236" w:rsidRDefault="00A23236" w:rsidP="00C3059C">
      <w:pPr>
        <w:pStyle w:val="Standard"/>
        <w:jc w:val="both"/>
      </w:pPr>
    </w:p>
    <w:p w:rsidR="00662531" w:rsidRPr="00662531" w:rsidRDefault="00662531" w:rsidP="00C3059C">
      <w:pPr>
        <w:pStyle w:val="Standard"/>
        <w:jc w:val="both"/>
      </w:pPr>
      <w:r>
        <w:lastRenderedPageBreak/>
        <w:t xml:space="preserve">Pour toute question ou inconfort, veuillez </w:t>
      </w:r>
      <w:r w:rsidR="00A34695">
        <w:t>communiquer avec nous</w:t>
      </w:r>
      <w:r w:rsidR="00786057">
        <w:t xml:space="preserve"> au (450) 741-6868</w:t>
      </w:r>
      <w:r w:rsidR="00A34695">
        <w:t>.</w:t>
      </w:r>
    </w:p>
    <w:sectPr w:rsidR="00662531" w:rsidRPr="00662531" w:rsidSect="00676991">
      <w:pgSz w:w="12240" w:h="15840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25pt" o:bullet="t">
        <v:imagedata r:id="rId1" o:title="clip_image001"/>
      </v:shape>
    </w:pict>
  </w:numPicBullet>
  <w:abstractNum w:abstractNumId="0" w15:restartNumberingAfterBreak="0">
    <w:nsid w:val="2E634517"/>
    <w:multiLevelType w:val="multilevel"/>
    <w:tmpl w:val="6B54E56A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1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31"/>
    <w:rsid w:val="000761DA"/>
    <w:rsid w:val="001736AB"/>
    <w:rsid w:val="001F7EF1"/>
    <w:rsid w:val="003A3F14"/>
    <w:rsid w:val="00500E4F"/>
    <w:rsid w:val="005B6C47"/>
    <w:rsid w:val="00653C01"/>
    <w:rsid w:val="00662531"/>
    <w:rsid w:val="00676991"/>
    <w:rsid w:val="006E58F9"/>
    <w:rsid w:val="006E6BA6"/>
    <w:rsid w:val="00786057"/>
    <w:rsid w:val="008B2420"/>
    <w:rsid w:val="00A23236"/>
    <w:rsid w:val="00A34695"/>
    <w:rsid w:val="00BB7898"/>
    <w:rsid w:val="00C06907"/>
    <w:rsid w:val="00C3059C"/>
    <w:rsid w:val="00C3537F"/>
    <w:rsid w:val="00D55EE2"/>
    <w:rsid w:val="00E6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E1C10D7"/>
  <w15:docId w15:val="{E7FD13C4-BCB5-4736-A116-7567E26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53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625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fr-C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Salle3</cp:lastModifiedBy>
  <cp:revision>12</cp:revision>
  <cp:lastPrinted>2024-06-18T15:04:00Z</cp:lastPrinted>
  <dcterms:created xsi:type="dcterms:W3CDTF">2020-02-12T00:23:00Z</dcterms:created>
  <dcterms:modified xsi:type="dcterms:W3CDTF">2024-06-21T13:12:00Z</dcterms:modified>
</cp:coreProperties>
</file>